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156" w:afterAutospacing="0" w:line="630" w:lineRule="atLeast"/>
        <w:ind w:left="0" w:right="0" w:firstLine="562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楷体" w:hAnsi="楷体" w:eastAsia="楷体" w:cs="楷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AFAFA"/>
        </w:rPr>
        <w:t>博士研究生（博士后）</w:t>
      </w:r>
    </w:p>
    <w:tbl>
      <w:tblPr>
        <w:tblW w:w="1005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2096"/>
        <w:gridCol w:w="3563"/>
        <w:gridCol w:w="658"/>
        <w:gridCol w:w="1340"/>
        <w:gridCol w:w="993"/>
        <w:gridCol w:w="99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Header/>
          <w:jc w:val="center"/>
        </w:trPr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3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招聘专业（方向）</w:t>
            </w:r>
          </w:p>
        </w:tc>
        <w:tc>
          <w:tcPr>
            <w:tcW w:w="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机械制造及其自动化（数字化设计与制造）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李长胜13837389981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流体力学、流体机械及工程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机械电子工程、机械制造及其自动化（机械电子工程）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机械制造及其自动化（先进制造技术、智能制造）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材料加工工程（金属材料成型）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翟德梅13938739962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车辆与交通工程学院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机械设计及理论（轻量化设计）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侯锁军13782536612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车辆工程（新能源汽车设计、汽车底盘设计）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车辆工程（节能与新能源车辆技术、智能辅助驾驶技术）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电气工程与自动化学院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电力系统及其自动化（保护、优化、高压等）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常文平13569825750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电力电子与电力传动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测控技术与仪器（机器视觉、图像处理等）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电缆工程学院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电机与电器、电力系统及其自动化、高电压与绝缘技术、电工理论与新技术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郑先锋15537361899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高分子材料与工程（橡胶材料、阻燃材料、高分子材料、复合材料与工程）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材料加工工程（材料加工工艺与控制、模具设计与制造）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光学工程（光电信息传输线、连接器及组件、光纤、光缆、光器件、光纤传感器、光电传输系统和线缆专用设备研究、光通信技术）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精密仪器及机械、测试计量技术及仪器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王建玲15137372785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信号与信息处理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光学工程（光学成像、光通信与光网络、光电子技术、光电检测技术、图像及信息处理）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生物医学工程（数字化医疗仪器开发、生物医学图像处理）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计算机应用技术（物联网、无线网络及智能感知、数字媒体技术）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徐立新17603736615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计算机软件与理论（未来的无线网络与大数据技术，机器学习）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软件工程（软件工程、人工智能、大数据技术及应用等）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智能工程学院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模式识别与智能系统（机器视觉、机器人）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田坤13837370420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计算机应用技术（人工智能）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王文剑15225923903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数量经济学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管理科学与工程（工业工程）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刘刚13503801127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工商管理（企业管理、技术经济与管理）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会计学、财务管理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紧缺专业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旅游管理（酒店管理）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理学部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计算数学、概率论与数理统计、运筹学与控制论、应用数学、基础数学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王秀梅13937361681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重点专业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3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马克思主义理论、哲学、政治学、历史学、社会学、政治经济学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王玉萍13523731850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常规专业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607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/>
        <w:ind w:left="0" w:right="0" w:firstLine="422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AFAFA"/>
          <w:lang w:val="en-US" w:eastAsia="zh-CN" w:bidi="ar"/>
        </w:rPr>
        <w:t>注：最终招聘专业及与招聘计划以上级部门批准的为准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4B0B"/>
    <w:rsid w:val="538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2020-01-17T10:02:00Z</dcterms:created>
  <dc:creator>Administrator</dc:creator>
  <cp:lastModifiedBy>Administrator</cp:lastModifiedBy>
  <dcterms:modified xsi:type="dcterms:W3CDTF">2020-01-17T10:04:03Z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